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Theme="majorBidi" w:hAnsiTheme="majorBidi" w:cstheme="majorBidi"/>
          <w:color w:val="333333"/>
          <w:sz w:val="28"/>
          <w:szCs w:val="28"/>
        </w:rPr>
      </w:pPr>
      <w:r>
        <w:rPr>
          <w:rFonts w:hint="eastAsia" w:eastAsia="宋体" w:asciiTheme="majorBidi" w:hAnsiTheme="majorBidi" w:cstheme="majorBidi"/>
          <w:color w:val="333333"/>
          <w:sz w:val="28"/>
          <w:szCs w:val="28"/>
          <w:lang w:val="en-US" w:eastAsia="zh-CN"/>
        </w:rPr>
        <w:t>A.</w:t>
      </w:r>
      <w:r>
        <w:rPr>
          <w:rFonts w:asciiTheme="majorBidi" w:hAnsiTheme="majorBidi" w:cstheme="majorBidi"/>
          <w:color w:val="333333"/>
          <w:sz w:val="28"/>
          <w:szCs w:val="28"/>
        </w:rPr>
        <w:t>Within the framework of production development, Ministry of Economy supports establishing of small enterprises</w:t>
      </w:r>
    </w:p>
    <w:p>
      <w:pPr>
        <w:pStyle w:val="10"/>
        <w:pageBreakBefore w:val="0"/>
        <w:widowControl/>
        <w:kinsoku/>
        <w:wordWrap/>
        <w:overflowPunct/>
        <w:topLinePunct w:val="0"/>
        <w:autoSpaceDE/>
        <w:autoSpaceDN/>
        <w:bidi w:val="0"/>
        <w:adjustRightInd/>
        <w:snapToGrid/>
        <w:spacing w:line="240" w:lineRule="auto"/>
        <w:textAlignment w:val="auto"/>
        <w:rPr>
          <w:sz w:val="28"/>
          <w:szCs w:val="28"/>
        </w:rPr>
      </w:pPr>
    </w:p>
    <w:p>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asciiTheme="majorBidi" w:hAnsiTheme="majorBidi" w:cstheme="majorBidi"/>
          <w:sz w:val="28"/>
          <w:szCs w:val="28"/>
        </w:rPr>
      </w:pPr>
      <w:r>
        <w:rPr>
          <w:sz w:val="28"/>
          <w:szCs w:val="28"/>
        </w:rPr>
        <w:fldChar w:fldCharType="begin"/>
      </w:r>
      <w:r>
        <w:rPr>
          <w:sz w:val="28"/>
          <w:szCs w:val="28"/>
        </w:rPr>
        <w:instrText xml:space="preserve"> HYPERLINK "https://syrecon.gov.sy/" </w:instrText>
      </w:r>
      <w:r>
        <w:rPr>
          <w:sz w:val="28"/>
          <w:szCs w:val="28"/>
        </w:rPr>
        <w:fldChar w:fldCharType="separate"/>
      </w:r>
      <w:r>
        <w:rPr>
          <w:rStyle w:val="9"/>
          <w:rFonts w:asciiTheme="majorBidi" w:hAnsiTheme="majorBidi" w:cstheme="majorBidi"/>
          <w:color w:val="auto"/>
          <w:sz w:val="28"/>
          <w:szCs w:val="28"/>
          <w:u w:val="none"/>
        </w:rPr>
        <w:t>Ministry of Economy and Foreign Trade</w:t>
      </w:r>
      <w:r>
        <w:rPr>
          <w:rStyle w:val="9"/>
          <w:rFonts w:asciiTheme="majorBidi" w:hAnsiTheme="majorBidi" w:cstheme="majorBidi"/>
          <w:color w:val="auto"/>
          <w:sz w:val="28"/>
          <w:szCs w:val="28"/>
          <w:u w:val="none"/>
        </w:rPr>
        <w:fldChar w:fldCharType="end"/>
      </w:r>
      <w:r>
        <w:rPr>
          <w:rFonts w:asciiTheme="majorBidi" w:hAnsiTheme="majorBidi" w:cstheme="majorBidi"/>
          <w:sz w:val="28"/>
          <w:szCs w:val="28"/>
        </w:rPr>
        <w:t> issued a statement confirming that citizens who wish to obtain loans at reduced interest rates can help them start establishing new projects or expand or rehabilitate existing projects and that came after the Prime Minister approved the recommendation of the Economic Committee to support the Ministry of Economy's proposal to extend the interest rate support program for a year. The state bears 7% of the interest set by the banks on </w:t>
      </w:r>
      <w:r>
        <w:rPr>
          <w:sz w:val="28"/>
          <w:szCs w:val="28"/>
        </w:rPr>
        <w:fldChar w:fldCharType="begin"/>
      </w:r>
      <w:r>
        <w:rPr>
          <w:sz w:val="28"/>
          <w:szCs w:val="28"/>
        </w:rPr>
        <w:instrText xml:space="preserve"> HYPERLINK "https://sensyria.com/tag/%d8%a7%d9%84%d9%82%d8%b1%d9%88%d8%b6/" </w:instrText>
      </w:r>
      <w:r>
        <w:rPr>
          <w:sz w:val="28"/>
          <w:szCs w:val="28"/>
        </w:rPr>
        <w:fldChar w:fldCharType="separate"/>
      </w:r>
      <w:r>
        <w:rPr>
          <w:rStyle w:val="9"/>
          <w:rFonts w:asciiTheme="majorBidi" w:hAnsiTheme="majorBidi" w:cstheme="majorBidi"/>
          <w:color w:val="auto"/>
          <w:sz w:val="28"/>
          <w:szCs w:val="28"/>
        </w:rPr>
        <w:t>loans</w:t>
      </w:r>
      <w:r>
        <w:rPr>
          <w:rStyle w:val="9"/>
          <w:rFonts w:asciiTheme="majorBidi" w:hAnsiTheme="majorBidi" w:cstheme="majorBidi"/>
          <w:color w:val="auto"/>
          <w:sz w:val="28"/>
          <w:szCs w:val="28"/>
        </w:rPr>
        <w:fldChar w:fldCharType="end"/>
      </w:r>
      <w:r>
        <w:rPr>
          <w:rFonts w:asciiTheme="majorBidi" w:hAnsiTheme="majorBidi" w:cstheme="majorBidi"/>
          <w:sz w:val="28"/>
          <w:szCs w:val="28"/>
        </w:rPr>
        <w:t> granted under the program. On the other hand, the Ministry's decision comes to help citizens start establishing new projects, expand or rehabilitate their existing projects, and benefit from materials and sectors.</w:t>
      </w:r>
    </w:p>
    <w:p>
      <w:pPr>
        <w:pStyle w:val="10"/>
        <w:pageBreakBefore w:val="0"/>
        <w:widowControl/>
        <w:kinsoku/>
        <w:wordWrap/>
        <w:overflowPunct/>
        <w:topLinePunct w:val="0"/>
        <w:autoSpaceDE/>
        <w:autoSpaceDN/>
        <w:bidi w:val="0"/>
        <w:adjustRightInd/>
        <w:snapToGrid/>
        <w:spacing w:line="240" w:lineRule="auto"/>
        <w:textAlignment w:val="auto"/>
        <w:rPr>
          <w:rFonts w:asciiTheme="majorBidi" w:hAnsiTheme="majorBidi" w:cstheme="majorBidi"/>
          <w:sz w:val="32"/>
          <w:szCs w:val="32"/>
        </w:rPr>
      </w:pPr>
    </w:p>
    <w:p>
      <w:pPr>
        <w:pStyle w:val="3"/>
        <w:pageBreakBefore w:val="0"/>
        <w:widowControl/>
        <w:shd w:val="clear" w:color="auto" w:fill="FFFFFF"/>
        <w:kinsoku/>
        <w:wordWrap/>
        <w:overflowPunct/>
        <w:topLinePunct w:val="0"/>
        <w:autoSpaceDE/>
        <w:autoSpaceDN/>
        <w:bidi w:val="0"/>
        <w:adjustRightInd/>
        <w:snapToGrid/>
        <w:spacing w:before="0" w:line="240" w:lineRule="auto"/>
        <w:textAlignment w:val="auto"/>
        <w:rPr>
          <w:rFonts w:asciiTheme="majorBidi" w:hAnsiTheme="majorBidi"/>
          <w:b w:val="0"/>
          <w:bCs w:val="0"/>
          <w:color w:val="333333"/>
          <w:sz w:val="28"/>
          <w:szCs w:val="28"/>
        </w:rPr>
      </w:pPr>
      <w:r>
        <w:rPr>
          <w:rFonts w:asciiTheme="majorBidi" w:hAnsiTheme="majorBidi"/>
          <w:b w:val="0"/>
          <w:bCs w:val="0"/>
          <w:color w:val="333333"/>
          <w:sz w:val="28"/>
          <w:szCs w:val="28"/>
        </w:rPr>
        <w:t>The materials and sectors approved by the Ministry of Economy</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asciiTheme="majorBidi" w:hAnsiTheme="majorBidi" w:cstheme="majorBidi"/>
          <w:b w:val="0"/>
          <w:bCs w:val="0"/>
          <w:color w:val="333333"/>
          <w:sz w:val="28"/>
          <w:szCs w:val="28"/>
        </w:rPr>
      </w:pPr>
      <w:r>
        <w:rPr>
          <w:rStyle w:val="8"/>
          <w:rFonts w:asciiTheme="majorBidi" w:hAnsiTheme="majorBidi" w:cstheme="majorBidi"/>
          <w:b w:val="0"/>
          <w:bCs w:val="0"/>
          <w:color w:val="333333"/>
          <w:sz w:val="28"/>
          <w:szCs w:val="28"/>
        </w:rPr>
        <w:t>According to the sub-programs of the Total Interest Rate Support Program, it is as follows:</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Establishment, operation and restoration of facilities for the manufacture of medical instruments and devices.</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Knitted fabric industry.</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Yarn industry support.</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Establishing, operating and renovating facilities for the automatic textile, knitting, carpet and rug industries.</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Laundry (dyeing) Support Program.</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Establishing and operating laboratories for the production of modern irrigation requirements.</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The program to support the operation of damaged and out of work poultry that needs rehabilitation.</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Manufacture of paper types (duplex - test liner - white top - sizing - semi-chemical).</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Program to support the starch industry and the industrial towing industry.</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Supporting the establishment of laboratories for the production of glass panels.</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Program to support the restoration and restart of machinery manufacturing plants and production lines.</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A program of restoration, re-running, and establishment of the Formica sheet industry, starting from the raw material.</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Restoration, restart and establishment of renewable energy components industry projects.</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Establishment of laboratories for the production of inverters.</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Supporting the restoration and restarting of factories for the production of batteries.</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Interest rates for loans to set up factories for the battery recycling industry and equipping them with the necessary machinery and equipment.</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Lighting industry.</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A support program for the development and expansion of the home appliances industry.</w:t>
      </w:r>
    </w:p>
    <w:p>
      <w:pPr>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Restoration of damaged facilities, expansion, replacement or refurbishment of production lines and molds, or purchase of new molds for the manufacture of cutlery and kitchen utensils.</w:t>
      </w:r>
    </w:p>
    <w:p>
      <w:pPr>
        <w:pStyle w:val="4"/>
        <w:pageBreakBefore w:val="0"/>
        <w:widowControl/>
        <w:shd w:val="clear" w:color="auto" w:fill="FFFFFF"/>
        <w:kinsoku/>
        <w:wordWrap/>
        <w:overflowPunct/>
        <w:topLinePunct w:val="0"/>
        <w:autoSpaceDE/>
        <w:autoSpaceDN/>
        <w:bidi w:val="0"/>
        <w:adjustRightInd/>
        <w:snapToGrid/>
        <w:spacing w:before="0" w:line="240" w:lineRule="auto"/>
        <w:textAlignment w:val="auto"/>
        <w:rPr>
          <w:rFonts w:asciiTheme="majorBidi" w:hAnsiTheme="majorBidi"/>
          <w:b w:val="0"/>
          <w:bCs w:val="0"/>
          <w:color w:val="333333"/>
          <w:sz w:val="28"/>
          <w:szCs w:val="28"/>
        </w:rPr>
      </w:pPr>
      <w:r>
        <w:rPr>
          <w:rFonts w:asciiTheme="majorBidi" w:hAnsiTheme="majorBidi"/>
          <w:b w:val="0"/>
          <w:bCs w:val="0"/>
          <w:color w:val="333333"/>
          <w:sz w:val="28"/>
          <w:szCs w:val="28"/>
        </w:rPr>
        <w:t>And other support programs as well:</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Establishment or renovation of mortuary facilities.</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Supporting the establishment, expansion and operation of factories for aluminum hard packages, soft aluminum tubes and aluminum composite panels (starting from the raw material, aluminum cables and rods (starting from the billet stage for rods and cables).</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A program to support the restoration and operation of the suspended facilities for the manufacture of (ceramic, marble, granite, adhesive cement and feldspar) and the establishment of factories for the production of (granite, adhesive cement and feldspar).</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Restoration or addition of new lines for the manufacture of (Alkyd Resin - Polyvinyl Acetate Styrene Acrylic).</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Production of packages and stoppers that are not produced locally.</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Program to support the establishment of facilities for the manufacture of dairy products.</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Rehabilitation of damaged veterinary medicine laboratories or setting up laboratories for the production of new veterinary medicines not produced locally.</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Restoration and restart of damaged fertilizer industry plants.</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Interest rate support program for loans to establish projects for the production of juices/natural thickeners from squeezing citrus fruits and locally produced fruits for local consumption or export, which do not use any imported thickeners in their products.</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Interest rate support program for loans to establish vegetable multiplication plants.</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Establishment of laboratories for the propagation of agricultural mushrooms.</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 Damaged industrial facilities in Aleppo Governorate.</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Program to support damaged tourist facilities in Aleppo governorate and those located on the Damascus-Aleppo axis.</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Establishment and rehabilitation of yeast manufacturing plants.</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color w:val="333333"/>
          <w:sz w:val="28"/>
          <w:szCs w:val="28"/>
        </w:rPr>
      </w:pPr>
      <w:r>
        <w:rPr>
          <w:rFonts w:asciiTheme="majorBidi" w:hAnsiTheme="majorBidi" w:cstheme="majorBidi"/>
          <w:color w:val="333333"/>
          <w:sz w:val="28"/>
          <w:szCs w:val="28"/>
        </w:rPr>
        <w:t>Program to support those affected by the former beneficiaries of the project to switch to modern irrigation.</w:t>
      </w:r>
    </w:p>
    <w:p>
      <w:pPr>
        <w:pageBreakBefore w:val="0"/>
        <w:widowControl/>
        <w:numPr>
          <w:ilvl w:val="0"/>
          <w:numId w:val="2"/>
        </w:numPr>
        <w:shd w:val="clear" w:color="auto" w:fill="FFFFFF"/>
        <w:kinsoku/>
        <w:wordWrap/>
        <w:overflowPunct/>
        <w:topLinePunct w:val="0"/>
        <w:autoSpaceDE/>
        <w:autoSpaceDN/>
        <w:bidi w:val="0"/>
        <w:adjustRightInd/>
        <w:snapToGrid/>
        <w:spacing w:after="0" w:line="240" w:lineRule="auto"/>
        <w:ind w:left="0" w:right="225"/>
        <w:textAlignment w:val="auto"/>
        <w:rPr>
          <w:rFonts w:asciiTheme="majorBidi" w:hAnsiTheme="majorBidi" w:cstheme="majorBidi"/>
          <w:sz w:val="28"/>
          <w:szCs w:val="28"/>
        </w:rPr>
      </w:pPr>
      <w:r>
        <w:rPr>
          <w:rFonts w:asciiTheme="majorBidi" w:hAnsiTheme="majorBidi" w:cstheme="majorBidi"/>
          <w:color w:val="333333"/>
          <w:sz w:val="28"/>
          <w:szCs w:val="28"/>
        </w:rPr>
        <w:t>Establishing or renovating farms to raise Awassi sheep and Shami goats, and sheep fattening farms based on early weaning experiments.</w:t>
      </w:r>
    </w:p>
    <w:p>
      <w:pPr>
        <w:pageBreakBefore w:val="0"/>
        <w:widowControl/>
        <w:numPr>
          <w:ilvl w:val="0"/>
          <w:numId w:val="0"/>
        </w:numPr>
        <w:shd w:val="clear" w:color="auto" w:fill="FFFFFF"/>
        <w:kinsoku/>
        <w:wordWrap/>
        <w:overflowPunct/>
        <w:topLinePunct w:val="0"/>
        <w:autoSpaceDE/>
        <w:autoSpaceDN/>
        <w:bidi w:val="0"/>
        <w:adjustRightInd/>
        <w:snapToGrid/>
        <w:spacing w:after="0" w:line="240" w:lineRule="auto"/>
        <w:ind w:right="225" w:rightChars="0"/>
        <w:textAlignment w:val="auto"/>
        <w:rPr>
          <w:rFonts w:asciiTheme="majorBidi" w:hAnsiTheme="majorBidi" w:cstheme="majorBidi"/>
          <w:color w:val="333333"/>
          <w:sz w:val="28"/>
          <w:szCs w:val="28"/>
        </w:rPr>
      </w:pPr>
    </w:p>
    <w:p>
      <w:pPr>
        <w:pageBreakBefore w:val="0"/>
        <w:widowControl/>
        <w:numPr>
          <w:ilvl w:val="0"/>
          <w:numId w:val="0"/>
        </w:numPr>
        <w:shd w:val="clear" w:color="auto" w:fill="FFFFFF"/>
        <w:kinsoku/>
        <w:wordWrap/>
        <w:overflowPunct/>
        <w:topLinePunct w:val="0"/>
        <w:autoSpaceDE/>
        <w:autoSpaceDN/>
        <w:bidi w:val="0"/>
        <w:adjustRightInd/>
        <w:snapToGrid/>
        <w:spacing w:after="0" w:line="240" w:lineRule="auto"/>
        <w:ind w:right="225" w:rightChars="0"/>
        <w:textAlignment w:val="auto"/>
        <w:rPr>
          <w:rFonts w:asciiTheme="majorBidi" w:hAnsiTheme="majorBidi" w:cstheme="majorBidi"/>
          <w:b/>
          <w:bCs/>
          <w:sz w:val="28"/>
          <w:szCs w:val="28"/>
        </w:rPr>
      </w:pPr>
      <w:r>
        <w:rPr>
          <w:rFonts w:hint="eastAsia" w:eastAsia="宋体" w:asciiTheme="majorBidi" w:hAnsiTheme="majorBidi" w:cstheme="majorBidi"/>
          <w:b/>
          <w:bCs/>
          <w:sz w:val="28"/>
          <w:szCs w:val="28"/>
          <w:lang w:val="en-US" w:eastAsia="zh-CN"/>
        </w:rPr>
        <w:t>B.</w:t>
      </w:r>
      <w:bookmarkStart w:id="0" w:name="_GoBack"/>
      <w:bookmarkEnd w:id="0"/>
      <w:r>
        <w:rPr>
          <w:rFonts w:asciiTheme="majorBidi" w:hAnsiTheme="majorBidi" w:cstheme="majorBidi"/>
          <w:b/>
          <w:bCs/>
          <w:sz w:val="28"/>
          <w:szCs w:val="28"/>
        </w:rPr>
        <w:t>The Supreme Investment Council: approves granting 16 projects</w:t>
      </w:r>
      <w:r>
        <w:rPr>
          <w:rFonts w:hint="eastAsia" w:eastAsia="宋体" w:asciiTheme="majorBidi" w:hAnsiTheme="majorBidi" w:cstheme="majorBidi"/>
          <w:b/>
          <w:bCs/>
          <w:sz w:val="28"/>
          <w:szCs w:val="28"/>
          <w:lang w:val="en-US" w:eastAsia="zh-CN"/>
        </w:rPr>
        <w:t xml:space="preserve"> </w:t>
      </w:r>
      <w:r>
        <w:rPr>
          <w:rFonts w:asciiTheme="majorBidi" w:hAnsiTheme="majorBidi" w:cstheme="majorBidi"/>
          <w:b/>
          <w:bCs/>
          <w:sz w:val="28"/>
          <w:szCs w:val="28"/>
        </w:rPr>
        <w:t xml:space="preserve">An investment license </w:t>
      </w:r>
    </w:p>
    <w:p>
      <w:pPr>
        <w:pageBreakBefore w:val="0"/>
        <w:widowControl/>
        <w:numPr>
          <w:ilvl w:val="0"/>
          <w:numId w:val="0"/>
        </w:numPr>
        <w:shd w:val="clear" w:color="auto" w:fill="FFFFFF"/>
        <w:kinsoku/>
        <w:wordWrap/>
        <w:overflowPunct/>
        <w:topLinePunct w:val="0"/>
        <w:autoSpaceDE/>
        <w:autoSpaceDN/>
        <w:bidi w:val="0"/>
        <w:adjustRightInd/>
        <w:snapToGrid/>
        <w:spacing w:after="0" w:line="240" w:lineRule="auto"/>
        <w:ind w:right="225" w:rightChars="0"/>
        <w:textAlignment w:val="auto"/>
        <w:rPr>
          <w:rFonts w:asciiTheme="majorBidi" w:hAnsiTheme="majorBidi" w:cstheme="majorBidi"/>
          <w:b/>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eastAsia="Times New Roman" w:asciiTheme="majorBidi" w:hAnsiTheme="majorBidi" w:cstheme="majorBidi"/>
          <w:sz w:val="28"/>
          <w:szCs w:val="28"/>
        </w:rPr>
      </w:pPr>
      <w:r>
        <w:rPr>
          <w:rFonts w:eastAsia="Times New Roman" w:asciiTheme="majorBidi" w:hAnsiTheme="majorBidi" w:cstheme="majorBidi"/>
          <w:sz w:val="28"/>
          <w:szCs w:val="28"/>
        </w:rPr>
        <w:t>The Supreme Investment Council, during its meeting today headed by Prime Minister Hussein Arnous, approved granting the necessary investment licenses for a project to manufacture plastic filaments and plastic fabric in Aleppo, and two projects to establish laboratories to test alternative energy equipment, and decided to raise the minimum value of fixed assets to establish laboratories to test alternative energy equipment to become SYP 10 billion instead of SYP 5 billion, in order to ensure quality and efficiency standards for renewable energy equipment.</w:t>
      </w:r>
    </w:p>
    <w:p>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eastAsia="Times New Roman" w:asciiTheme="majorBidi" w:hAnsiTheme="majorBidi" w:cstheme="majorBidi"/>
          <w:sz w:val="28"/>
          <w:szCs w:val="28"/>
        </w:rPr>
      </w:pPr>
      <w:r>
        <w:rPr>
          <w:rFonts w:eastAsia="Times New Roman" w:asciiTheme="majorBidi" w:hAnsiTheme="majorBidi" w:cstheme="majorBidi"/>
          <w:sz w:val="28"/>
          <w:szCs w:val="28"/>
        </w:rPr>
        <w:t>The Supreme Investment Council conducted a follow-up to the implementation stages of investment projects that obtained an investment license, and the applications submitted for obtaining an investment license in accordance with the provisions of Law 18 of 2021, where the number of projects that obtained an investment license under this law amounted to (16) projects with an estimated cost of about one trillion Syrian pounds and insures (1201) job opportunities, including (13) projects in the field of industry and (3) in the field of renewable energy.</w:t>
      </w:r>
    </w:p>
    <w:p>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eastAsia="Times New Roman" w:asciiTheme="majorBidi" w:hAnsiTheme="majorBidi" w:cstheme="majorBidi"/>
          <w:sz w:val="28"/>
          <w:szCs w:val="28"/>
        </w:rPr>
      </w:pPr>
      <w:r>
        <w:rPr>
          <w:rFonts w:eastAsia="Times New Roman" w:asciiTheme="majorBidi" w:hAnsiTheme="majorBidi" w:cstheme="majorBidi"/>
          <w:sz w:val="28"/>
          <w:szCs w:val="28"/>
        </w:rPr>
        <w:t>Arnous reiterated the emphasis on the tendency to limit investment in cities and industrial zones and to give investors all the necessary facilities to invest in them, pointing to the need for continuous follow-up to the projects that have been granted. Investment licenses and coordination with the concerned authorities to speed up putting them into service, which would provide more job opportunities, increase production and reduce prices.</w:t>
      </w:r>
    </w:p>
    <w:p>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eastAsia="Times New Roman" w:asciiTheme="majorBidi" w:hAnsiTheme="majorBidi" w:cstheme="majorBidi"/>
          <w:sz w:val="28"/>
          <w:szCs w:val="28"/>
        </w:rPr>
      </w:pPr>
      <w:r>
        <w:rPr>
          <w:rFonts w:eastAsia="Times New Roman" w:asciiTheme="majorBidi" w:hAnsiTheme="majorBidi" w:cstheme="majorBidi"/>
          <w:sz w:val="28"/>
          <w:szCs w:val="28"/>
        </w:rPr>
        <w:t>The Council also approved the import of the Syrian Company for Transport and Tourism (formerly Karnak) 45 buses of different sizes, and the expansion of the Karnak Beach Project in Tartous Governorate to include 48 chalets, in addition to approving a number of tourism development projects in the coastal region that secure more job opportunities and contribute to Expanding and revitalizing popular tourism.</w:t>
      </w:r>
    </w:p>
    <w:p>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default" w:asciiTheme="majorBidi" w:hAnsiTheme="majorBidi" w:cstheme="majorBidi"/>
          <w:sz w:val="28"/>
          <w:szCs w:val="28"/>
          <w:lang w:val="en-US" w:eastAsia="zh-CN"/>
        </w:rPr>
      </w:pPr>
      <w:r>
        <w:rPr>
          <w:rFonts w:eastAsia="Times New Roman" w:asciiTheme="majorBidi" w:hAnsiTheme="majorBidi" w:cstheme="majorBidi"/>
          <w:sz w:val="28"/>
          <w:szCs w:val="28"/>
        </w:rPr>
        <w:t>The council was briefed on the stages of completing the investment map for 2022 prepared by the Syrian Investment Authority in accordance with the new investment law, with keenness to develop that map and provide data and indicators that support the investor’s decision to invest in a particular sector or a particular governorate, and the public authorities were stressed to provide the authority with all data The information and investment opportunities available to it and its specialized areas to be put on the investment map.</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01D39"/>
    <w:multiLevelType w:val="multilevel"/>
    <w:tmpl w:val="38F01D3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4B30E23"/>
    <w:multiLevelType w:val="multilevel"/>
    <w:tmpl w:val="54B30E2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5F"/>
    <w:rsid w:val="00027AD7"/>
    <w:rsid w:val="00080AD7"/>
    <w:rsid w:val="0008153C"/>
    <w:rsid w:val="000C3C25"/>
    <w:rsid w:val="000D09FC"/>
    <w:rsid w:val="002A24A4"/>
    <w:rsid w:val="00302553"/>
    <w:rsid w:val="0038515C"/>
    <w:rsid w:val="00425773"/>
    <w:rsid w:val="0048127F"/>
    <w:rsid w:val="0049697F"/>
    <w:rsid w:val="004C33AB"/>
    <w:rsid w:val="0056045B"/>
    <w:rsid w:val="00586909"/>
    <w:rsid w:val="005B09EB"/>
    <w:rsid w:val="0063799E"/>
    <w:rsid w:val="00664C07"/>
    <w:rsid w:val="006D5543"/>
    <w:rsid w:val="007F1BCB"/>
    <w:rsid w:val="00824C32"/>
    <w:rsid w:val="0085159F"/>
    <w:rsid w:val="00887F8A"/>
    <w:rsid w:val="00966E08"/>
    <w:rsid w:val="00985E12"/>
    <w:rsid w:val="00A75387"/>
    <w:rsid w:val="00A76619"/>
    <w:rsid w:val="00A85C4A"/>
    <w:rsid w:val="00AF6B56"/>
    <w:rsid w:val="00B229CE"/>
    <w:rsid w:val="00B61743"/>
    <w:rsid w:val="00B714C6"/>
    <w:rsid w:val="00BA625F"/>
    <w:rsid w:val="00CB0EFD"/>
    <w:rsid w:val="00CB163B"/>
    <w:rsid w:val="00CC258C"/>
    <w:rsid w:val="00CD43C2"/>
    <w:rsid w:val="00D67DAC"/>
    <w:rsid w:val="00DB6357"/>
    <w:rsid w:val="00EA50D7"/>
    <w:rsid w:val="00F7142C"/>
    <w:rsid w:val="2BE90186"/>
    <w:rsid w:val="2C792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8"/>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3"/>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7"/>
    <w:qFormat/>
    <w:uiPriority w:val="22"/>
    <w:rPr>
      <w:b/>
      <w:bCs/>
    </w:rPr>
  </w:style>
  <w:style w:type="character" w:styleId="9">
    <w:name w:val="Hyperlink"/>
    <w:basedOn w:val="7"/>
    <w:unhideWhenUsed/>
    <w:uiPriority w:val="99"/>
    <w:rPr>
      <w:color w:val="0563C1" w:themeColor="hyperlink"/>
      <w:u w:val="single"/>
      <w14:textFill>
        <w14:solidFill>
          <w14:schemeClr w14:val="hlink"/>
        </w14:solidFill>
      </w14:textFill>
    </w:rPr>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العنوان 1 Char"/>
    <w:basedOn w:val="7"/>
    <w:link w:val="2"/>
    <w:uiPriority w:val="9"/>
    <w:rPr>
      <w:rFonts w:ascii="Times New Roman" w:hAnsi="Times New Roman" w:eastAsia="Times New Roman" w:cs="Times New Roman"/>
      <w:b/>
      <w:bCs/>
      <w:kern w:val="36"/>
      <w:sz w:val="48"/>
      <w:szCs w:val="48"/>
    </w:rPr>
  </w:style>
  <w:style w:type="character" w:customStyle="1" w:styleId="13">
    <w:name w:val="عنوان 3 Char"/>
    <w:basedOn w:val="7"/>
    <w:link w:val="4"/>
    <w:semiHidden/>
    <w:uiPriority w:val="9"/>
    <w:rPr>
      <w:rFonts w:asciiTheme="majorHAnsi" w:hAnsiTheme="majorHAnsi" w:eastAsiaTheme="majorEastAsia" w:cstheme="majorBidi"/>
      <w:color w:val="1F4E79" w:themeColor="accent1" w:themeShade="80"/>
      <w:sz w:val="24"/>
      <w:szCs w:val="24"/>
    </w:rPr>
  </w:style>
  <w:style w:type="paragraph" w:customStyle="1" w:styleId="14">
    <w:name w:val="post-met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
    <w:name w:val="tie-date"/>
    <w:basedOn w:val="7"/>
    <w:uiPriority w:val="0"/>
  </w:style>
  <w:style w:type="character" w:customStyle="1" w:styleId="16">
    <w:name w:val="post-cats"/>
    <w:basedOn w:val="7"/>
    <w:uiPriority w:val="0"/>
  </w:style>
  <w:style w:type="character" w:customStyle="1" w:styleId="17">
    <w:name w:val="share-text"/>
    <w:basedOn w:val="7"/>
    <w:uiPriority w:val="0"/>
  </w:style>
  <w:style w:type="character" w:customStyle="1" w:styleId="18">
    <w:name w:val="عنوان 2 Char"/>
    <w:basedOn w:val="7"/>
    <w:link w:val="3"/>
    <w:semiHidden/>
    <w:uiPriority w:val="9"/>
    <w:rPr>
      <w:rFonts w:asciiTheme="majorHAnsi" w:hAnsiTheme="majorHAnsi" w:eastAsiaTheme="majorEastAsia" w:cstheme="majorBidi"/>
      <w:color w:val="2E75B6" w:themeColor="accent1" w:themeShade="BF"/>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FE458-8B81-624A-93D3-EFFDFCC02E81}">
  <ds:schemaRefs/>
</ds:datastoreItem>
</file>

<file path=docProps/app.xml><?xml version="1.0" encoding="utf-8"?>
<Properties xmlns="http://schemas.openxmlformats.org/officeDocument/2006/extended-properties" xmlns:vt="http://schemas.openxmlformats.org/officeDocument/2006/docPropsVTypes">
  <Template>Normal</Template>
  <Pages>4</Pages>
  <Words>1530</Words>
  <Characters>8725</Characters>
  <Lines>72</Lines>
  <Paragraphs>20</Paragraphs>
  <TotalTime>10</TotalTime>
  <ScaleCrop>false</ScaleCrop>
  <LinksUpToDate>false</LinksUpToDate>
  <CharactersWithSpaces>10235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2022-01-30T05:37:00Z</dcterms:created>
  <dc:creator>Aspire</dc:creator>
  <cp:lastModifiedBy>zhuwaidiannao</cp:lastModifiedBy>
  <cp:lastPrinted>2022-01-30T07:54:34Z</cp:lastPrinted>
  <dcterms:modified xsi:type="dcterms:W3CDTF">2022-01-30T08:03:24Z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